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BA4576" w:rsidTr="001B52E8">
        <w:trPr>
          <w:trHeight w:val="2779"/>
        </w:trPr>
        <w:tc>
          <w:tcPr>
            <w:tcW w:w="4362" w:type="dxa"/>
          </w:tcPr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Мишк</w:t>
            </w:r>
            <w:proofErr w:type="spellEnd"/>
            <w:r>
              <w:rPr>
                <w:rFonts w:ascii="ER Bukinist Bashkir" w:hAnsi="ER Bukinist Bashkir"/>
              </w:rPr>
              <w:t xml:space="preserve">º районы </w:t>
            </w:r>
          </w:p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районыныœ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билºìºhå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Хакимиºòå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</w:p>
          <w:p w:rsidR="00BA4576" w:rsidRDefault="00BA4576" w:rsidP="001B52E8">
            <w:pPr>
              <w:jc w:val="center"/>
            </w:pPr>
          </w:p>
          <w:p w:rsidR="00BA4576" w:rsidRDefault="00BA4576" w:rsidP="001B52E8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EDB2D7" wp14:editId="3BF2D1F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68580</wp:posOffset>
                  </wp:positionV>
                  <wp:extent cx="7086600" cy="11430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BA4576" w:rsidRDefault="00BA4576" w:rsidP="001B52E8">
            <w:pPr>
              <w:ind w:right="-107"/>
            </w:pPr>
            <w:r>
              <w:rPr>
                <w:noProof/>
              </w:rPr>
              <w:drawing>
                <wp:inline distT="0" distB="0" distL="0" distR="0" wp14:anchorId="6D6E1EA3" wp14:editId="349A439C">
                  <wp:extent cx="1152525" cy="1371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BA4576" w:rsidRDefault="00BA4576" w:rsidP="001B52E8">
            <w:pPr>
              <w:jc w:val="center"/>
              <w:rPr>
                <w:rFonts w:ascii="ER Bukinist Bashkir" w:hAnsi="ER Bukinist Bashkir"/>
              </w:rPr>
            </w:pPr>
          </w:p>
          <w:p w:rsidR="00BA4576" w:rsidRDefault="00BA4576" w:rsidP="001B52E8">
            <w:pPr>
              <w:jc w:val="center"/>
            </w:pPr>
          </w:p>
        </w:tc>
      </w:tr>
    </w:tbl>
    <w:p w:rsidR="00BA4576" w:rsidRDefault="00BA4576" w:rsidP="00BA4576">
      <w:pPr>
        <w:jc w:val="both"/>
      </w:pPr>
      <w:r>
        <w:t xml:space="preserve">              </w:t>
      </w:r>
      <w:r>
        <w:t xml:space="preserve">    </w:t>
      </w:r>
      <w:r>
        <w:t xml:space="preserve"> БОЙОРОК                                                                            РАСПОРЯЖЕНИЕ</w:t>
      </w:r>
    </w:p>
    <w:p w:rsidR="00BA4576" w:rsidRDefault="00BA4576" w:rsidP="00BA4576">
      <w:pPr>
        <w:jc w:val="both"/>
      </w:pPr>
    </w:p>
    <w:p w:rsidR="00BA4576" w:rsidRDefault="00BA4576" w:rsidP="00BA4576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23 январь </w:t>
      </w:r>
      <w:r>
        <w:rPr>
          <w:sz w:val="28"/>
          <w:szCs w:val="28"/>
        </w:rPr>
        <w:t xml:space="preserve">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23 января </w:t>
      </w:r>
      <w:r>
        <w:rPr>
          <w:sz w:val="28"/>
          <w:szCs w:val="28"/>
        </w:rPr>
        <w:t>2020 года</w:t>
      </w:r>
    </w:p>
    <w:p w:rsidR="00BA4576" w:rsidRDefault="00BA4576" w:rsidP="00BA4576">
      <w:pPr>
        <w:jc w:val="both"/>
        <w:rPr>
          <w:sz w:val="28"/>
          <w:szCs w:val="28"/>
        </w:rPr>
      </w:pPr>
    </w:p>
    <w:p w:rsidR="00BA4576" w:rsidRPr="003564BE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  <w:r w:rsidRPr="003564BE">
        <w:rPr>
          <w:sz w:val="28"/>
          <w:szCs w:val="28"/>
        </w:rPr>
        <w:t>О назначении контрактного управляющего в Администрации</w:t>
      </w:r>
    </w:p>
    <w:p w:rsidR="00BA4576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  <w:r w:rsidRPr="003564BE">
        <w:rPr>
          <w:sz w:val="28"/>
          <w:szCs w:val="28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BA4576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В соответствии со ст. 38 п.2 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1. Возложить обязанности контрактного управляющего, ответственного за осуществление закупок в администрации  сельского поселения Акбулатовский сельсовет муниципального района Мишкинский район Республики Башкортостан, на  главу администрации сельского поселения Акбулатовский сельсовет муниципального района Мишкинский район Республики Башкортостан;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2. Утвердить Типовые условия должностного регламента (должностной инструкции) контрактного управляющего /Приложение 1/.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3. Обнародовать данное распоряжение на информационном стенде в здании администрации сельского поселения Акбулатовский сельсовет и разместить на официальном сайте сельского поселения Акбулатовский сельсовет в сети интернет http://akbulat.mishkan.ru.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4. Контроль исполнения данного распоряжения  оставляю за собой.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5. Распоряжение вступает в силу с момента подписания. </w:t>
      </w:r>
    </w:p>
    <w:p w:rsidR="00BA4576" w:rsidRDefault="00BA4576" w:rsidP="00BA4576">
      <w:pPr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4576" w:rsidRDefault="00BA4576" w:rsidP="00BA4576">
      <w:pPr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4576" w:rsidRDefault="00BA4576" w:rsidP="00BA4576">
      <w:pPr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bCs/>
          <w:color w:val="000000"/>
          <w:sz w:val="28"/>
          <w:szCs w:val="28"/>
        </w:rPr>
        <w:t xml:space="preserve">Глава сельского поселения                           </w:t>
      </w:r>
      <w:r>
        <w:rPr>
          <w:bCs/>
          <w:color w:val="000000"/>
          <w:sz w:val="28"/>
          <w:szCs w:val="28"/>
        </w:rPr>
        <w:t xml:space="preserve">        </w:t>
      </w:r>
      <w:r w:rsidRPr="00BA4576">
        <w:rPr>
          <w:bCs/>
          <w:color w:val="000000"/>
          <w:sz w:val="28"/>
          <w:szCs w:val="28"/>
        </w:rPr>
        <w:t xml:space="preserve">              </w:t>
      </w:r>
      <w:r>
        <w:rPr>
          <w:bCs/>
          <w:color w:val="000000"/>
          <w:sz w:val="28"/>
          <w:szCs w:val="28"/>
        </w:rPr>
        <w:t>Ю.В. Андреева</w:t>
      </w:r>
    </w:p>
    <w:p w:rsidR="00BA4576" w:rsidRPr="00BA4576" w:rsidRDefault="00BA4576" w:rsidP="00BA4576">
      <w:pPr>
        <w:spacing w:line="276" w:lineRule="auto"/>
        <w:ind w:firstLine="709"/>
        <w:contextualSpacing/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bCs/>
          <w:color w:val="000000"/>
        </w:rPr>
        <w:lastRenderedPageBreak/>
        <w:t>Приложение 1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>к распоряжению администрации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 xml:space="preserve"> сельского поселения Акбулатовский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>сельсовет муниципального района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 xml:space="preserve">Мишкинский район 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>Республики Башкортостан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 xml:space="preserve">от </w:t>
      </w:r>
      <w:r>
        <w:rPr>
          <w:color w:val="000000"/>
        </w:rPr>
        <w:t>23.01.2020 г. № 7</w:t>
      </w:r>
    </w:p>
    <w:p w:rsidR="00BA4576" w:rsidRPr="00BA4576" w:rsidRDefault="00BA4576" w:rsidP="00BA4576">
      <w:pPr>
        <w:spacing w:line="276" w:lineRule="auto"/>
        <w:ind w:firstLine="709"/>
        <w:contextualSpacing/>
        <w:rPr>
          <w:color w:val="000000"/>
        </w:rPr>
      </w:pPr>
      <w:r w:rsidRPr="00BA4576">
        <w:rPr>
          <w:color w:val="000000"/>
        </w:rPr>
        <w:t> </w:t>
      </w:r>
    </w:p>
    <w:p w:rsidR="00BA4576" w:rsidRPr="00BA4576" w:rsidRDefault="00BA4576" w:rsidP="00BA4576">
      <w:pPr>
        <w:spacing w:line="276" w:lineRule="auto"/>
        <w:ind w:firstLine="709"/>
        <w:contextualSpacing/>
        <w:jc w:val="center"/>
        <w:rPr>
          <w:color w:val="000000"/>
        </w:rPr>
      </w:pPr>
      <w:r w:rsidRPr="00BA4576">
        <w:rPr>
          <w:b/>
          <w:bCs/>
          <w:color w:val="000000"/>
        </w:rPr>
        <w:t>Типовые условия</w:t>
      </w:r>
    </w:p>
    <w:p w:rsidR="00BA4576" w:rsidRPr="00BA4576" w:rsidRDefault="00BA4576" w:rsidP="00BA4576">
      <w:pPr>
        <w:spacing w:line="276" w:lineRule="auto"/>
        <w:ind w:firstLine="709"/>
        <w:contextualSpacing/>
        <w:jc w:val="center"/>
        <w:rPr>
          <w:color w:val="000000"/>
        </w:rPr>
      </w:pPr>
      <w:r w:rsidRPr="00BA4576">
        <w:rPr>
          <w:b/>
          <w:bCs/>
          <w:color w:val="000000"/>
        </w:rPr>
        <w:t>должностного регламента (должностной инструкции)</w:t>
      </w:r>
    </w:p>
    <w:p w:rsidR="00BA4576" w:rsidRDefault="00BA4576" w:rsidP="00BA4576">
      <w:pPr>
        <w:spacing w:line="276" w:lineRule="auto"/>
        <w:ind w:firstLine="709"/>
        <w:contextualSpacing/>
        <w:jc w:val="center"/>
        <w:rPr>
          <w:b/>
          <w:bCs/>
          <w:color w:val="000000"/>
        </w:rPr>
      </w:pPr>
      <w:r w:rsidRPr="00BA4576">
        <w:rPr>
          <w:b/>
          <w:bCs/>
          <w:color w:val="000000"/>
        </w:rPr>
        <w:t>контрактного управляющего</w:t>
      </w:r>
    </w:p>
    <w:p w:rsidR="00BA4576" w:rsidRPr="00BA4576" w:rsidRDefault="00BA4576" w:rsidP="00BA4576">
      <w:pPr>
        <w:spacing w:line="276" w:lineRule="auto"/>
        <w:ind w:firstLine="709"/>
        <w:contextualSpacing/>
        <w:jc w:val="center"/>
        <w:rPr>
          <w:color w:val="000000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 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наличие высшего образования или дополнительного профессионального образование в сфере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 2. В части должностных обязанностей: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1) разрабатывает план закупок, осуществляет подготовку изменений для внесения в план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2) организует утверждение плана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3) размещает в единой информационной системе план закупок и внесенные в него изменения;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4) размещает планы закупок на сайте заказчика в информационно-телекоммуникационной сети Интернет (при наличии), а также опубликовывает в любых печатных изданиях в соответствии с частью 10 статьи 17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5) обеспечивает подготовку обоснования закупки при формировании плана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6) разрабатывает план-график, осуществляет подготовку изменений для внесения в план-график;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7) организует утверждение плана-графика;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8) размещает в единой информационной системе, а до даты ввода в эксплуатацию указанной системы на официальном сайте в информационно-коммуникационной сети Интернет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10) выбирает способ определения поставщика (подрядчика, исполнителя);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lastRenderedPageBreak/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13) организует подготовку описания объекта закупки при формировании заявок на закупку;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14) обеспечивает проверку: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A4576">
        <w:rPr>
          <w:color w:val="000000"/>
        </w:rPr>
        <w:t>являющихся</w:t>
      </w:r>
      <w:proofErr w:type="gramEnd"/>
      <w:r w:rsidRPr="00BA4576">
        <w:rPr>
          <w:color w:val="000000"/>
        </w:rPr>
        <w:t xml:space="preserve"> объектом закупки;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правомочности участника закупки заключать контракт;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- </w:t>
      </w:r>
      <w:proofErr w:type="spellStart"/>
      <w:r w:rsidRPr="00BA4576">
        <w:rPr>
          <w:color w:val="000000"/>
        </w:rPr>
        <w:t>непроведения</w:t>
      </w:r>
      <w:proofErr w:type="spellEnd"/>
      <w:r w:rsidRPr="00BA4576">
        <w:rPr>
          <w:color w:val="000000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- </w:t>
      </w:r>
      <w:proofErr w:type="spellStart"/>
      <w:r w:rsidRPr="00BA4576">
        <w:rPr>
          <w:color w:val="000000"/>
        </w:rPr>
        <w:t>неприостановления</w:t>
      </w:r>
      <w:proofErr w:type="spellEnd"/>
      <w:r w:rsidRPr="00BA4576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обладания участником закупки исключительными правами на результаты интеллектуальной деятельности;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19) привлекает экспертов, экспертные организации;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lastRenderedPageBreak/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23) обеспечивает заключение контрактов;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proofErr w:type="gramStart"/>
      <w:r w:rsidRPr="00BA4576">
        <w:rPr>
          <w:color w:val="000000"/>
        </w:rPr>
        <w:t xml:space="preserve"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пеней). </w:t>
      </w:r>
      <w:proofErr w:type="gramEnd"/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proofErr w:type="gramStart"/>
      <w:r w:rsidRPr="00BA4576">
        <w:rPr>
          <w:color w:val="000000"/>
        </w:rPr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proofErr w:type="gramStart"/>
      <w:r w:rsidRPr="00BA4576">
        <w:rPr>
          <w:color w:val="000000"/>
        </w:rPr>
        <w:t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</w:t>
      </w:r>
      <w:proofErr w:type="gramEnd"/>
      <w:r w:rsidRPr="00BA4576">
        <w:rPr>
          <w:color w:val="000000"/>
        </w:rPr>
        <w:t xml:space="preserve"> </w:t>
      </w:r>
      <w:proofErr w:type="gramStart"/>
      <w:r w:rsidRPr="00BA4576">
        <w:rPr>
          <w:color w:val="000000"/>
        </w:rPr>
        <w:t>расторжении</w:t>
      </w:r>
      <w:proofErr w:type="gramEnd"/>
      <w:r w:rsidRPr="00BA4576">
        <w:rPr>
          <w:color w:val="000000"/>
        </w:rPr>
        <w:t xml:space="preserve"> контракта в ходе его исполнения, информацию об изменении контракта или о </w:t>
      </w:r>
      <w:r w:rsidRPr="00BA4576">
        <w:rPr>
          <w:color w:val="000000"/>
        </w:rPr>
        <w:lastRenderedPageBreak/>
        <w:t>расторжении контракта, за исключением сведений, составляющих государственную тайну;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BA4576">
        <w:rPr>
          <w:color w:val="000000"/>
        </w:rPr>
        <w:t>был</w:t>
      </w:r>
      <w:proofErr w:type="gramEnd"/>
      <w:r w:rsidRPr="00BA4576">
        <w:rPr>
          <w:color w:val="000000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  работ, услуг, определения наилучших технологий и других решений для обеспечения муниципальных нужд;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proofErr w:type="gramStart"/>
      <w:r w:rsidRPr="00BA4576">
        <w:rPr>
          <w:color w:val="000000"/>
        </w:rPr>
        <w:t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  <w:proofErr w:type="gramEnd"/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BA4576" w:rsidRPr="003564BE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</w:p>
    <w:p w:rsidR="00917098" w:rsidRDefault="00917098"/>
    <w:sectPr w:rsidR="0091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4"/>
    <w:rsid w:val="00917098"/>
    <w:rsid w:val="00B010A0"/>
    <w:rsid w:val="00B33314"/>
    <w:rsid w:val="00B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cp:lastPrinted>2020-01-23T11:25:00Z</cp:lastPrinted>
  <dcterms:created xsi:type="dcterms:W3CDTF">2020-01-23T11:16:00Z</dcterms:created>
  <dcterms:modified xsi:type="dcterms:W3CDTF">2020-01-23T11:26:00Z</dcterms:modified>
</cp:coreProperties>
</file>